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71" w:rsidRDefault="00125371" w:rsidP="00125371">
      <w:pPr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Style w:val="docarticle-number"/>
          <w:rFonts w:ascii="Helvetica" w:eastAsia="Times New Roman" w:hAnsi="Helvetica" w:cs="Helvetica"/>
          <w:b/>
          <w:bCs/>
          <w:sz w:val="18"/>
          <w:szCs w:val="18"/>
        </w:rPr>
        <w:t xml:space="preserve">Статья 48.1. </w:t>
      </w:r>
      <w:r>
        <w:rPr>
          <w:rStyle w:val="docarticle-name"/>
          <w:rFonts w:ascii="Helvetica" w:eastAsia="Times New Roman" w:hAnsi="Helvetica" w:cs="Helvetica"/>
          <w:b/>
          <w:bCs/>
          <w:sz w:val="18"/>
          <w:szCs w:val="18"/>
        </w:rPr>
        <w:t>Особо опасные, технически сложные и уникальные объекты</w:t>
      </w:r>
    </w:p>
    <w:p w:rsidR="00125371" w:rsidRDefault="00125371" w:rsidP="00125371">
      <w:pPr>
        <w:spacing w:after="223"/>
        <w:jc w:val="both"/>
      </w:pPr>
      <w:r>
        <w:rPr>
          <w:rFonts w:ascii="PT Serif" w:hAnsi="PT Serif"/>
          <w:sz w:val="18"/>
          <w:szCs w:val="18"/>
        </w:rPr>
        <w:t xml:space="preserve">1. К особо опасным и технически сложным объектам относятся: </w:t>
      </w:r>
    </w:p>
    <w:p w:rsidR="00125371" w:rsidRDefault="00125371" w:rsidP="00125371">
      <w:pPr>
        <w:spacing w:after="223"/>
        <w:jc w:val="both"/>
      </w:pPr>
      <w:r>
        <w:rPr>
          <w:rFonts w:ascii="PT Serif" w:hAnsi="PT Serif"/>
          <w:sz w:val="18"/>
          <w:szCs w:val="18"/>
        </w:rPr>
        <w:t>1) объекты использования атомной энергии в соответствии с законодательством Российской Федерации об использовании атомной энергии, за исключением объектов, содержащих:</w:t>
      </w:r>
    </w:p>
    <w:p w:rsidR="00125371" w:rsidRDefault="00125371" w:rsidP="00125371">
      <w:pPr>
        <w:spacing w:after="223"/>
        <w:jc w:val="both"/>
      </w:pPr>
      <w:r>
        <w:rPr>
          <w:rFonts w:ascii="PT Serif" w:hAnsi="PT Serif"/>
          <w:sz w:val="18"/>
          <w:szCs w:val="18"/>
        </w:rPr>
        <w:t>а) только радиационные источники, в которых генерируется ионизирующее излучение, на объектах, радиационное воздействие от которых в случае аварии ограничивается помещениями, где осуществляется непосредственное обращение с источниками ионизирующего излучения;</w:t>
      </w:r>
    </w:p>
    <w:p w:rsidR="00125371" w:rsidRDefault="00125371" w:rsidP="00125371">
      <w:pPr>
        <w:spacing w:after="223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б) радиационные источники, содержащие в своем составе только </w:t>
      </w:r>
      <w:proofErr w:type="spellStart"/>
      <w:r>
        <w:rPr>
          <w:rFonts w:ascii="PT Serif" w:hAnsi="PT Serif"/>
          <w:sz w:val="18"/>
          <w:szCs w:val="18"/>
        </w:rPr>
        <w:t>радионуклидные</w:t>
      </w:r>
      <w:proofErr w:type="spellEnd"/>
      <w:r>
        <w:rPr>
          <w:rFonts w:ascii="PT Serif" w:hAnsi="PT Serif"/>
          <w:sz w:val="18"/>
          <w:szCs w:val="18"/>
        </w:rPr>
        <w:t xml:space="preserve">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энергии;</w:t>
      </w:r>
    </w:p>
    <w:p w:rsidR="00125371" w:rsidRDefault="00125371" w:rsidP="00125371">
      <w:pPr>
        <w:spacing w:after="223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2) гидротехнические сооружения первого и второго классов ответственности, устанавливаемых в соответствии с законодательством о техническом регулировании;</w:t>
      </w:r>
    </w:p>
    <w:p w:rsidR="00125371" w:rsidRDefault="00125371" w:rsidP="00125371">
      <w:pPr>
        <w:spacing w:after="223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3) сооружения связи, являющиеся особо опасными, технически сложными в соответствии с законодательством Российской Федерации в области связи;</w:t>
      </w:r>
    </w:p>
    <w:p w:rsidR="00125371" w:rsidRDefault="00125371" w:rsidP="00125371">
      <w:pPr>
        <w:spacing w:after="223"/>
        <w:jc w:val="both"/>
      </w:pPr>
      <w:r>
        <w:rPr>
          <w:rFonts w:ascii="PT Serif" w:hAnsi="PT Serif"/>
          <w:sz w:val="18"/>
          <w:szCs w:val="18"/>
        </w:rPr>
        <w:t xml:space="preserve">4) линии электропередачи и иные объекты </w:t>
      </w:r>
      <w:proofErr w:type="spellStart"/>
      <w:r>
        <w:rPr>
          <w:rFonts w:ascii="PT Serif" w:hAnsi="PT Serif"/>
          <w:sz w:val="18"/>
          <w:szCs w:val="18"/>
        </w:rPr>
        <w:t>электросетевого</w:t>
      </w:r>
      <w:proofErr w:type="spellEnd"/>
      <w:r>
        <w:rPr>
          <w:rFonts w:ascii="PT Serif" w:hAnsi="PT Serif"/>
          <w:sz w:val="18"/>
          <w:szCs w:val="18"/>
        </w:rPr>
        <w:t xml:space="preserve"> хозяйства напряжением 330 киловольт и более;</w:t>
      </w:r>
    </w:p>
    <w:p w:rsidR="00125371" w:rsidRDefault="00125371" w:rsidP="00125371">
      <w:pPr>
        <w:spacing w:after="223"/>
        <w:jc w:val="both"/>
      </w:pPr>
      <w:r>
        <w:rPr>
          <w:rFonts w:ascii="PT Serif" w:hAnsi="PT Serif"/>
          <w:sz w:val="18"/>
          <w:szCs w:val="18"/>
        </w:rPr>
        <w:t>5) объекты космической инфраструктуры;</w:t>
      </w:r>
    </w:p>
    <w:p w:rsidR="00125371" w:rsidRDefault="00125371" w:rsidP="00125371">
      <w:pPr>
        <w:spacing w:after="223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6) объекты инфраструктуры воздушного транспорта, являющиеся особо опасными, технически сложными объектами в соответствии с воздушным законодательством Российской Федерации;</w:t>
      </w:r>
    </w:p>
    <w:p w:rsidR="00125371" w:rsidRDefault="00125371" w:rsidP="00125371">
      <w:pPr>
        <w:spacing w:after="223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7) объекты капитального строительства инфраструктуры железнодорожного транспорта общего пользования, являющиеся особо опасными, технически сложными объектами в соответствии с законодательством Российской Федерации о железнодорожном транспорте;</w:t>
      </w:r>
    </w:p>
    <w:p w:rsidR="00125371" w:rsidRDefault="00125371" w:rsidP="00125371">
      <w:pPr>
        <w:spacing w:after="223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8) объекты инфраструктуры внеуличного транспорта;</w:t>
      </w:r>
    </w:p>
    <w:p w:rsidR="00125371" w:rsidRDefault="00125371" w:rsidP="00125371">
      <w:pPr>
        <w:spacing w:after="223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9) 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судов;</w:t>
      </w:r>
    </w:p>
    <w:p w:rsidR="00125371" w:rsidRDefault="00125371" w:rsidP="00125371">
      <w:pPr>
        <w:spacing w:after="223"/>
        <w:jc w:val="both"/>
        <w:rPr>
          <w:rFonts w:ascii="PT Serif" w:hAnsi="PT Serif"/>
          <w:sz w:val="18"/>
          <w:szCs w:val="18"/>
        </w:rPr>
      </w:pPr>
      <w:r>
        <w:rPr>
          <w:rStyle w:val="docexpired1"/>
          <w:rFonts w:ascii="PT Serif" w:hAnsi="PT Serif"/>
          <w:sz w:val="18"/>
          <w:szCs w:val="18"/>
        </w:rPr>
        <w:t xml:space="preserve">10) Пункт утратил силу с 14 ноября 2007 года - </w:t>
      </w:r>
      <w:hyperlink r:id="rId4" w:anchor="/document/99/902070582/XA00M922NE/" w:history="1">
        <w:r>
          <w:rPr>
            <w:rStyle w:val="a3"/>
            <w:rFonts w:ascii="PT Serif" w:hAnsi="PT Serif"/>
            <w:sz w:val="18"/>
            <w:szCs w:val="18"/>
          </w:rPr>
          <w:t>Федеральный закон от 8 ноября 2007 года № 257-ФЗ</w:t>
        </w:r>
      </w:hyperlink>
      <w:r>
        <w:rPr>
          <w:rStyle w:val="docexpired1"/>
          <w:rFonts w:ascii="PT Serif" w:hAnsi="PT Serif"/>
          <w:sz w:val="18"/>
          <w:szCs w:val="18"/>
        </w:rPr>
        <w:t xml:space="preserve"> - см. </w:t>
      </w:r>
      <w:hyperlink r:id="rId5" w:anchor="/document/99/902071230/XA00M942NB/" w:history="1">
        <w:r>
          <w:rPr>
            <w:rStyle w:val="a3"/>
            <w:rFonts w:ascii="PT Serif" w:hAnsi="PT Serif"/>
            <w:sz w:val="18"/>
            <w:szCs w:val="18"/>
          </w:rPr>
          <w:t>предыдущую редакцию</w:t>
        </w:r>
      </w:hyperlink>
      <w:r>
        <w:rPr>
          <w:rStyle w:val="docexpired1"/>
          <w:rFonts w:ascii="PT Serif" w:hAnsi="PT Serif"/>
          <w:sz w:val="18"/>
          <w:szCs w:val="18"/>
        </w:rPr>
        <w:t>;</w:t>
      </w:r>
    </w:p>
    <w:p w:rsidR="00125371" w:rsidRDefault="00125371" w:rsidP="00125371">
      <w:pPr>
        <w:spacing w:after="223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10.1) тепловые электростанции мощностью 150 мегаватт и выше;</w:t>
      </w:r>
    </w:p>
    <w:p w:rsidR="00125371" w:rsidRDefault="00125371" w:rsidP="00125371">
      <w:pPr>
        <w:spacing w:after="223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10.2) подвесные канатные дороги;</w:t>
      </w:r>
    </w:p>
    <w:p w:rsidR="00125371" w:rsidRDefault="00125371" w:rsidP="00125371">
      <w:pPr>
        <w:spacing w:after="223"/>
        <w:jc w:val="both"/>
      </w:pPr>
      <w:r>
        <w:rPr>
          <w:rFonts w:ascii="PT Serif" w:hAnsi="PT Serif"/>
          <w:sz w:val="18"/>
          <w:szCs w:val="18"/>
        </w:rPr>
        <w:t>11) 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объектов:</w:t>
      </w:r>
    </w:p>
    <w:p w:rsidR="00125371" w:rsidRDefault="00125371" w:rsidP="00125371">
      <w:pPr>
        <w:spacing w:after="223"/>
        <w:jc w:val="both"/>
      </w:pPr>
      <w:r>
        <w:rPr>
          <w:rFonts w:ascii="PT Serif" w:hAnsi="PT Serif"/>
          <w:sz w:val="18"/>
          <w:szCs w:val="18"/>
        </w:rPr>
        <w:t>а)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</w:r>
    </w:p>
    <w:p w:rsidR="00125371" w:rsidRDefault="00125371" w:rsidP="00125371">
      <w:pPr>
        <w:spacing w:after="223"/>
        <w:jc w:val="both"/>
      </w:pPr>
      <w:r>
        <w:rPr>
          <w:rFonts w:ascii="PT Serif" w:hAnsi="PT Serif"/>
          <w:sz w:val="18"/>
          <w:szCs w:val="18"/>
        </w:rPr>
        <w:t>б)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</w:r>
    </w:p>
    <w:p w:rsidR="00125371" w:rsidRDefault="00125371" w:rsidP="00125371">
      <w:pPr>
        <w:spacing w:after="223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в)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ископаемых.</w:t>
      </w:r>
    </w:p>
    <w:p w:rsidR="00125371" w:rsidRDefault="00125371" w:rsidP="00125371">
      <w:pPr>
        <w:spacing w:after="223"/>
        <w:jc w:val="both"/>
      </w:pPr>
      <w:r>
        <w:rPr>
          <w:rFonts w:ascii="PT Serif" w:hAnsi="PT Serif"/>
          <w:sz w:val="18"/>
          <w:szCs w:val="18"/>
        </w:rPr>
        <w:t xml:space="preserve">2. К уникальным объектам относятся объекты капитального строительства (за исключением указанных в </w:t>
      </w:r>
      <w:hyperlink r:id="rId6" w:anchor="/document/99/901919338/XA00M9M2NE/" w:tgtFrame="_self" w:history="1">
        <w:r>
          <w:rPr>
            <w:rStyle w:val="a3"/>
            <w:rFonts w:ascii="PT Serif" w:hAnsi="PT Serif"/>
            <w:sz w:val="18"/>
            <w:szCs w:val="18"/>
          </w:rPr>
          <w:t>части 1 настоящей статьи</w:t>
        </w:r>
      </w:hyperlink>
      <w:r>
        <w:rPr>
          <w:rFonts w:ascii="PT Serif" w:hAnsi="PT Serif"/>
          <w:sz w:val="18"/>
          <w:szCs w:val="18"/>
        </w:rPr>
        <w:t>), в проектной документации которых предусмотрена хотя бы одна из следующих характеристик:     </w:t>
      </w:r>
    </w:p>
    <w:p w:rsidR="00125371" w:rsidRDefault="00125371" w:rsidP="00125371">
      <w:pPr>
        <w:spacing w:after="223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1) высота более чем 100 метров, для ветроэнергетических установок - более чем 250 метров;</w:t>
      </w:r>
    </w:p>
    <w:p w:rsidR="00125371" w:rsidRDefault="00125371" w:rsidP="00125371">
      <w:pPr>
        <w:spacing w:after="223"/>
        <w:jc w:val="both"/>
      </w:pPr>
      <w:r>
        <w:rPr>
          <w:rFonts w:ascii="PT Serif" w:hAnsi="PT Serif"/>
          <w:sz w:val="18"/>
          <w:szCs w:val="18"/>
        </w:rPr>
        <w:t xml:space="preserve">2) пролеты более чем 100 метров; </w:t>
      </w:r>
    </w:p>
    <w:p w:rsidR="00125371" w:rsidRDefault="00125371" w:rsidP="00125371">
      <w:pPr>
        <w:spacing w:after="223"/>
        <w:jc w:val="both"/>
      </w:pPr>
      <w:r>
        <w:rPr>
          <w:rFonts w:ascii="PT Serif" w:hAnsi="PT Serif"/>
          <w:sz w:val="18"/>
          <w:szCs w:val="18"/>
        </w:rPr>
        <w:t xml:space="preserve">3) наличие консоли более чем 20 метров; </w:t>
      </w:r>
    </w:p>
    <w:p w:rsidR="00125371" w:rsidRDefault="00125371" w:rsidP="00125371">
      <w:pPr>
        <w:spacing w:after="223"/>
        <w:jc w:val="both"/>
      </w:pPr>
      <w:r>
        <w:rPr>
          <w:rFonts w:ascii="PT Serif" w:hAnsi="PT Serif"/>
          <w:sz w:val="18"/>
          <w:szCs w:val="18"/>
        </w:rPr>
        <w:lastRenderedPageBreak/>
        <w:t>4) заглубление подземной части (полностью или частично) ниже планировочной отметки земли более чем на 15 метров;      </w:t>
      </w:r>
    </w:p>
    <w:p w:rsidR="00125371" w:rsidRDefault="00125371" w:rsidP="00125371">
      <w:pPr>
        <w:spacing w:after="223"/>
        <w:jc w:val="both"/>
      </w:pPr>
      <w:r>
        <w:rPr>
          <w:rStyle w:val="docexpired1"/>
          <w:rFonts w:ascii="PT Serif" w:hAnsi="PT Serif"/>
          <w:sz w:val="18"/>
          <w:szCs w:val="18"/>
        </w:rPr>
        <w:t xml:space="preserve">5) Пункт утратил силу с 29 ноября 2011 года - </w:t>
      </w:r>
      <w:hyperlink r:id="rId7" w:anchor="/document/99/902314274/XA00MAI2N9/" w:history="1">
        <w:r>
          <w:rPr>
            <w:rStyle w:val="a3"/>
            <w:rFonts w:ascii="PT Serif" w:hAnsi="PT Serif"/>
            <w:sz w:val="18"/>
            <w:szCs w:val="18"/>
          </w:rPr>
          <w:t>Федеральный закон от 28 ноября 2011 года № 337-ФЗ</w:t>
        </w:r>
      </w:hyperlink>
      <w:r>
        <w:rPr>
          <w:rStyle w:val="docexpired1"/>
          <w:rFonts w:ascii="PT Serif" w:hAnsi="PT Serif"/>
          <w:sz w:val="18"/>
          <w:szCs w:val="18"/>
        </w:rPr>
        <w:t xml:space="preserve">. - См. </w:t>
      </w:r>
      <w:hyperlink r:id="rId8" w:anchor="/document/99/902314663/XA00M242LU/" w:history="1">
        <w:r>
          <w:rPr>
            <w:rStyle w:val="a3"/>
            <w:rFonts w:ascii="PT Serif" w:hAnsi="PT Serif"/>
            <w:sz w:val="18"/>
            <w:szCs w:val="18"/>
          </w:rPr>
          <w:t>предыдущую редакцию</w:t>
        </w:r>
      </w:hyperlink>
      <w:r>
        <w:rPr>
          <w:rStyle w:val="docexpired1"/>
          <w:rFonts w:ascii="PT Serif" w:hAnsi="PT Serif"/>
          <w:sz w:val="18"/>
          <w:szCs w:val="18"/>
        </w:rPr>
        <w:t>.</w:t>
      </w:r>
    </w:p>
    <w:p w:rsidR="00D15F7B" w:rsidRDefault="00D15F7B"/>
    <w:sectPr w:rsidR="00D15F7B" w:rsidSect="00D1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371"/>
    <w:rsid w:val="00125371"/>
    <w:rsid w:val="001D6947"/>
    <w:rsid w:val="00D1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5371"/>
    <w:rPr>
      <w:color w:val="0000FF"/>
      <w:u w:val="single"/>
    </w:rPr>
  </w:style>
  <w:style w:type="character" w:customStyle="1" w:styleId="docexpired1">
    <w:name w:val="doc__expired1"/>
    <w:basedOn w:val="a0"/>
    <w:rsid w:val="00125371"/>
    <w:rPr>
      <w:color w:val="CCCCCC"/>
    </w:rPr>
  </w:style>
  <w:style w:type="character" w:customStyle="1" w:styleId="docarticle-number">
    <w:name w:val="docarticle-number"/>
    <w:basedOn w:val="a0"/>
    <w:rsid w:val="00125371"/>
  </w:style>
  <w:style w:type="character" w:customStyle="1" w:styleId="docarticle-name">
    <w:name w:val="docarticle-name"/>
    <w:basedOn w:val="a0"/>
    <w:rsid w:val="00125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g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g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gl.ru/" TargetMode="External"/><Relationship Id="rId5" Type="http://schemas.openxmlformats.org/officeDocument/2006/relationships/hyperlink" Target="https://1gl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1gl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2024-10-16T13:08:00Z</dcterms:created>
  <dcterms:modified xsi:type="dcterms:W3CDTF">2024-10-16T13:08:00Z</dcterms:modified>
</cp:coreProperties>
</file>